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1E" w:rsidRDefault="002B5FC4" w:rsidP="002B5FC4">
      <w:pPr>
        <w:jc w:val="center"/>
        <w:rPr>
          <w:rFonts w:ascii="Sylfaen" w:hAnsi="Sylfaen"/>
          <w:sz w:val="36"/>
          <w:szCs w:val="36"/>
          <w:lang w:val="ka-GE"/>
        </w:rPr>
      </w:pPr>
      <w:r w:rsidRPr="002B5FC4">
        <w:rPr>
          <w:rFonts w:ascii="Sylfaen" w:hAnsi="Sylfaen"/>
          <w:sz w:val="36"/>
          <w:szCs w:val="36"/>
          <w:lang w:val="ka-GE"/>
        </w:rPr>
        <w:t>ტენდერი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738"/>
        <w:gridCol w:w="7650"/>
        <w:gridCol w:w="1350"/>
        <w:gridCol w:w="1800"/>
        <w:gridCol w:w="2250"/>
      </w:tblGrid>
      <w:tr w:rsidR="002B5FC4" w:rsidTr="00CB2F98">
        <w:tc>
          <w:tcPr>
            <w:tcW w:w="738" w:type="dxa"/>
          </w:tcPr>
          <w:p w:rsidR="002B5FC4" w:rsidRDefault="00CB2F98" w:rsidP="002B5FC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#</w:t>
            </w:r>
          </w:p>
        </w:tc>
        <w:tc>
          <w:tcPr>
            <w:tcW w:w="7650" w:type="dxa"/>
          </w:tcPr>
          <w:p w:rsidR="002B5FC4" w:rsidRPr="00CB2F98" w:rsidRDefault="00CB2F98" w:rsidP="002B5FC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Product</w:t>
            </w:r>
          </w:p>
        </w:tc>
        <w:tc>
          <w:tcPr>
            <w:tcW w:w="1350" w:type="dxa"/>
          </w:tcPr>
          <w:p w:rsidR="002B5FC4" w:rsidRPr="00CB2F98" w:rsidRDefault="00CB2F98" w:rsidP="002B5FC4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Qtty</w:t>
            </w:r>
            <w:proofErr w:type="spellEnd"/>
          </w:p>
        </w:tc>
        <w:tc>
          <w:tcPr>
            <w:tcW w:w="1800" w:type="dxa"/>
          </w:tcPr>
          <w:p w:rsidR="002B5FC4" w:rsidRPr="00CB2F98" w:rsidRDefault="00CB2F98" w:rsidP="002B5FC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Price</w:t>
            </w:r>
          </w:p>
        </w:tc>
        <w:tc>
          <w:tcPr>
            <w:tcW w:w="2250" w:type="dxa"/>
          </w:tcPr>
          <w:p w:rsidR="002B5FC4" w:rsidRPr="00CB2F98" w:rsidRDefault="00CB2F98" w:rsidP="002B5FC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Total</w:t>
            </w:r>
          </w:p>
        </w:tc>
      </w:tr>
      <w:tr w:rsidR="002B5FC4" w:rsidTr="00CB2F98">
        <w:trPr>
          <w:trHeight w:val="728"/>
        </w:trPr>
        <w:tc>
          <w:tcPr>
            <w:tcW w:w="738" w:type="dxa"/>
          </w:tcPr>
          <w:p w:rsidR="002B5FC4" w:rsidRDefault="00CB2F98" w:rsidP="002B5FC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7650" w:type="dxa"/>
          </w:tcPr>
          <w:p w:rsidR="00CB2F98" w:rsidRDefault="00CB2F98" w:rsidP="00CB2F9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83"/>
            </w:tblGrid>
            <w:tr w:rsidR="00CB2F98" w:rsidTr="00CB2F98">
              <w:tblPrEx>
                <w:tblCellMar>
                  <w:top w:w="0" w:type="dxa"/>
                  <w:bottom w:w="0" w:type="dxa"/>
                </w:tblCellMar>
              </w:tblPrEx>
              <w:trPr>
                <w:trHeight w:val="153"/>
              </w:trPr>
              <w:tc>
                <w:tcPr>
                  <w:tcW w:w="0" w:type="auto"/>
                </w:tcPr>
                <w:p w:rsidR="00CB2F98" w:rsidRDefault="00CB2F9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McAfee Complete Data Protection Advanced 1 year Gold Software Support</w:t>
                  </w:r>
                </w:p>
              </w:tc>
            </w:tr>
          </w:tbl>
          <w:p w:rsidR="002B5FC4" w:rsidRDefault="002B5FC4" w:rsidP="002B5FC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350" w:type="dxa"/>
          </w:tcPr>
          <w:p w:rsidR="002B5FC4" w:rsidRPr="00CB2F98" w:rsidRDefault="00CB2F98" w:rsidP="002B5FC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101</w:t>
            </w:r>
          </w:p>
        </w:tc>
        <w:tc>
          <w:tcPr>
            <w:tcW w:w="1800" w:type="dxa"/>
          </w:tcPr>
          <w:p w:rsidR="002B5FC4" w:rsidRDefault="002B5FC4" w:rsidP="002B5FC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50" w:type="dxa"/>
          </w:tcPr>
          <w:p w:rsidR="002B5FC4" w:rsidRDefault="002B5FC4" w:rsidP="002B5FC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bookmarkStart w:id="0" w:name="_GoBack"/>
            <w:bookmarkEnd w:id="0"/>
          </w:p>
        </w:tc>
      </w:tr>
      <w:tr w:rsidR="002B5FC4" w:rsidTr="00CB2F98">
        <w:trPr>
          <w:trHeight w:val="665"/>
        </w:trPr>
        <w:tc>
          <w:tcPr>
            <w:tcW w:w="738" w:type="dxa"/>
          </w:tcPr>
          <w:p w:rsidR="002B5FC4" w:rsidRDefault="00CB2F98" w:rsidP="002B5FC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7650" w:type="dxa"/>
          </w:tcPr>
          <w:p w:rsidR="00CB2F98" w:rsidRDefault="00CB2F98" w:rsidP="00CB2F9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68"/>
            </w:tblGrid>
            <w:tr w:rsidR="00CB2F98">
              <w:tblPrEx>
                <w:tblCellMar>
                  <w:top w:w="0" w:type="dxa"/>
                  <w:bottom w:w="0" w:type="dxa"/>
                </w:tblCellMar>
              </w:tblPrEx>
              <w:trPr>
                <w:trHeight w:val="243"/>
              </w:trPr>
              <w:tc>
                <w:tcPr>
                  <w:tcW w:w="0" w:type="auto"/>
                </w:tcPr>
                <w:p w:rsidR="00CB2F98" w:rsidRDefault="00CB2F9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McAfee Data Loss Prevention Endpoint 1 year Gold Software Support</w:t>
                  </w:r>
                </w:p>
              </w:tc>
            </w:tr>
          </w:tbl>
          <w:p w:rsidR="002B5FC4" w:rsidRDefault="002B5FC4" w:rsidP="002B5FC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350" w:type="dxa"/>
          </w:tcPr>
          <w:p w:rsidR="002B5FC4" w:rsidRDefault="00CB2F98" w:rsidP="002B5FC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B2F98">
              <w:rPr>
                <w:rFonts w:ascii="Sylfaen" w:hAnsi="Sylfaen"/>
                <w:sz w:val="24"/>
                <w:szCs w:val="24"/>
                <w:lang w:val="ka-GE"/>
              </w:rPr>
              <w:t>2500</w:t>
            </w:r>
          </w:p>
        </w:tc>
        <w:tc>
          <w:tcPr>
            <w:tcW w:w="1800" w:type="dxa"/>
          </w:tcPr>
          <w:p w:rsidR="002B5FC4" w:rsidRDefault="002B5FC4" w:rsidP="002B5FC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50" w:type="dxa"/>
          </w:tcPr>
          <w:p w:rsidR="002B5FC4" w:rsidRDefault="002B5FC4" w:rsidP="002B5FC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2B5FC4" w:rsidRDefault="002B5FC4" w:rsidP="002B5FC4">
      <w:pPr>
        <w:jc w:val="center"/>
        <w:rPr>
          <w:rFonts w:ascii="Sylfaen" w:hAnsi="Sylfaen"/>
          <w:sz w:val="24"/>
          <w:szCs w:val="24"/>
        </w:rPr>
      </w:pPr>
    </w:p>
    <w:p w:rsidR="00CB2F98" w:rsidRPr="00CB2F98" w:rsidRDefault="00CB2F98" w:rsidP="00CB2F9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ფასები წარმოდგენილი უნდა იყოს დოლარში, გადასახადების ჩათვლით.</w:t>
      </w:r>
    </w:p>
    <w:p w:rsidR="00CB2F98" w:rsidRDefault="00CB2F98" w:rsidP="00CB2F9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მოთხოვნის შემთხვევაში, პრეტენდენტმა უნდა წარმოადგინოს </w:t>
      </w:r>
      <w:r>
        <w:rPr>
          <w:rFonts w:ascii="Sylfaen" w:hAnsi="Sylfaen"/>
          <w:sz w:val="24"/>
          <w:szCs w:val="24"/>
        </w:rPr>
        <w:t xml:space="preserve">MAF. </w:t>
      </w:r>
    </w:p>
    <w:p w:rsidR="00CB2F98" w:rsidRPr="00CB2F98" w:rsidRDefault="00CB2F98" w:rsidP="00CB2F9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დამატებითი კითხვების შემთხვევაში დაუკავშირდით: ბექა ჭოლაძე, </w:t>
      </w:r>
      <w:hyperlink r:id="rId6" w:history="1">
        <w:r w:rsidRPr="000067F0">
          <w:rPr>
            <w:rStyle w:val="Hyperlink"/>
            <w:rFonts w:ascii="Sylfaen" w:hAnsi="Sylfaen"/>
            <w:sz w:val="24"/>
            <w:szCs w:val="24"/>
          </w:rPr>
          <w:t>bcholadze@bog.ge</w:t>
        </w:r>
      </w:hyperlink>
      <w:r>
        <w:rPr>
          <w:rFonts w:ascii="Sylfaen" w:hAnsi="Sylfaen"/>
          <w:sz w:val="24"/>
          <w:szCs w:val="24"/>
        </w:rPr>
        <w:t xml:space="preserve"> 555 111 299</w:t>
      </w:r>
    </w:p>
    <w:sectPr w:rsidR="00CB2F98" w:rsidRPr="00CB2F98" w:rsidSect="00CB2F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6799"/>
    <w:multiLevelType w:val="hybridMultilevel"/>
    <w:tmpl w:val="6344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C4"/>
    <w:rsid w:val="002677C8"/>
    <w:rsid w:val="002B5FC4"/>
    <w:rsid w:val="00932F4A"/>
    <w:rsid w:val="00C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2F9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2F9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1</cp:revision>
  <dcterms:created xsi:type="dcterms:W3CDTF">2019-10-02T12:19:00Z</dcterms:created>
  <dcterms:modified xsi:type="dcterms:W3CDTF">2019-10-02T12:46:00Z</dcterms:modified>
</cp:coreProperties>
</file>